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9"/>
        <w:jc w:val="center"/>
        <w:spacing w:before="0" w:after="0" w:line="240" w:lineRule="auto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9"/>
        <w:jc w:val="center"/>
        <w:spacing w:before="0" w:after="0" w:line="240" w:lineRule="auto"/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Камчатского края                             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«</w:t>
      </w:r>
      <w:r>
        <w:rPr>
          <w:rStyle w:val="753"/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Об утверждении Положения о региональном государственном контроле (надзоре) за реализацией инвестиционных программ организаций, осуществляющих регулируемые виды деятельности в сфере теплоснабжения на территории Камчатского края</w:t>
      </w:r>
      <w:r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  <w:t xml:space="preserve">»</w:t>
      </w:r>
      <w:r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</w:r>
      <w:r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</w:r>
    </w:p>
    <w:p>
      <w:pPr>
        <w:pStyle w:val="659"/>
        <w:jc w:val="center"/>
        <w:spacing w:before="0" w:after="0" w:line="240" w:lineRule="auto"/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</w:r>
      <w:r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bidi="ru-RU"/>
        </w:rPr>
      </w:pP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Проект постановления Правительства Камчатского края</w:t>
      </w:r>
      <w:r>
        <w:rPr>
          <w:rStyle w:val="753"/>
          <w:rFonts w:ascii="Times New Roman" w:hAnsi="Times New Roman" w:eastAsia="NSimSun" w:cs="Times New Roman"/>
          <w:bCs w:val="0"/>
          <w:sz w:val="28"/>
          <w:szCs w:val="28"/>
        </w:rPr>
        <w:t xml:space="preserve"> </w:t>
        <w:br w:type="textWrapping" w:clear="all"/>
      </w:r>
      <w:r>
        <w:rPr>
          <w:rFonts w:ascii="Times New Roman" w:hAnsi="Times New Roman" w:eastAsia="NSimSun" w:cs="Times New Roman"/>
          <w:bCs/>
          <w:color w:val="000000"/>
          <w:sz w:val="28"/>
          <w:szCs w:val="28"/>
          <w:lang w:bidi="ru-RU"/>
        </w:rPr>
        <w:t xml:space="preserve">«Об утверждении Положения о региональном государственном контроле (надзоре) за реализацией инвестиционных программ организаций, осуществляющих регулируемые виды деятельности в сфере теплоснабжения на территории Камчатского края</w:t>
      </w:r>
      <w:r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  <w:t xml:space="preserve">» (далее – Проект) 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 разработан в соответствии с федеральными законами от 29.12.2025 № 576-ФЗ «О внесении изменений в отдельные законодательные акты Российской Федерации»  (далее </w:t>
      </w:r>
      <w:r>
        <w:rPr>
          <w:rStyle w:val="753"/>
          <w:rFonts w:ascii="Times New Roman" w:hAnsi="Times New Roman" w:eastAsia="NSimSun" w:cs="Times New Roman"/>
          <w:b w:val="0"/>
          <w:bCs w:val="0"/>
          <w:color w:val="000000"/>
          <w:sz w:val="28"/>
          <w:szCs w:val="28"/>
          <w:lang w:bidi="ru-RU"/>
        </w:rPr>
        <w:t xml:space="preserve">– 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Федеральный  закон № 576 - ФЗ), от 31.07.2020 № 248-ФЗ </w:t>
        <w:br w:type="textWrapping" w:clear="all"/>
        <w:t xml:space="preserve">«О государственном контроле (надзоре) и муниципальном контроле в Российской Федерации», от 27.07.2010 № 190-Ф</w:t>
      </w:r>
      <w:r>
        <w:rPr>
          <w:rStyle w:val="753"/>
          <w:rFonts w:ascii="Times New Roman" w:hAnsi="Times New Roman" w:eastAsia="Tahoma" w:cs="Times New Roman"/>
          <w:b w:val="0"/>
          <w:bCs w:val="0"/>
          <w:color w:val="000000"/>
          <w:sz w:val="28"/>
          <w:szCs w:val="28"/>
          <w:lang w:eastAsia="ru-RU" w:bidi="ar-SA"/>
        </w:rPr>
        <w:t xml:space="preserve">З «О теплоснабжении»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, </w:t>
        <w:br w:type="textWrapping" w:clear="all"/>
        <w:t xml:space="preserve">от 21.12.2021 № 414-ФЗ «Об общих принципах организации публичной власти в субъектах Российской Федерации», </w:t>
      </w:r>
      <w:r>
        <w:rPr>
          <w:rStyle w:val="671"/>
          <w:rFonts w:ascii="Times New Roman" w:hAnsi="Times New Roman" w:eastAsia="Times New Roman" w:cs="Times New Roman"/>
          <w:color w:val="000000"/>
          <w:sz w:val="28"/>
          <w:szCs w:val="28"/>
        </w:rPr>
        <w:t xml:space="preserve">постановлением Правительства Российской Федерации от 30.05.2026 № 655 «Об утверждении общих требований к организации и осуществлению регионального государственного контроля (надзора</w:t>
      </w:r>
      <w:r>
        <w:rPr>
          <w:rStyle w:val="671"/>
          <w:rFonts w:ascii="Times New Roman" w:hAnsi="Times New Roman" w:eastAsia="Times New Roman" w:cs="Times New Roman"/>
          <w:color w:val="000000"/>
          <w:sz w:val="28"/>
          <w:szCs w:val="28"/>
        </w:rPr>
        <w:t xml:space="preserve">) за реализацией инвестиционных программ организаций, осуществляющих регулируемые виды деятельности в сфере теплоснабжения (за исключением инвестиционных программ, утверждаемых в соответствии с законодательством Российской Федерации об электроэнергетике)».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ru-RU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bidi="ru-RU"/>
        </w:rPr>
        <w:t xml:space="preserve">Федеральным законом № 576-ФЗ, который вступает в силу с 01.09.2026, вводится новый вид регионального государственного контроля (надзора) за ре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ru-RU"/>
        </w:rPr>
        <w:t xml:space="preserve">ализацией инвестиционных программ организаций, осуществляющих регулируемые виды деятельности в сфере теплоснабжения (за исключением инвестиционных программ, утверждаемых в соответствии с законодательством Российской Федерации об электроэнергетике) </w:t>
        <w:br/>
        <w:t xml:space="preserve">(далее </w:t>
      </w:r>
      <w:r>
        <w:rPr>
          <w:rFonts w:ascii="Times New Roman" w:hAnsi="Times New Roman" w:eastAsia="NSimSun" w:cs="Times New Roman"/>
          <w:color w:val="000000"/>
          <w:sz w:val="28"/>
          <w:szCs w:val="28"/>
          <w:lang w:bidi="ru-RU"/>
        </w:rPr>
        <w:t xml:space="preserve"> –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ru-RU"/>
        </w:rPr>
        <w:t xml:space="preserve">региональный контроль). 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pP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Согласно п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ункта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 4.13 ст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атьи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 1 Федерального закона № 576-ФЗ региональный контроль осуществляется в соответст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вии с положениями, утвержденными высшими исполнительными органами субъектов Российской Федерации, а также в соответствии с общими требованиями к организации и осуществлению регионального государственного контроля (надзора) за реализацией инвестиционных про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грамм в сфере теплоснабжения, утвержденными Правительством Российской Федерации. Постановлением Правительства Российской Федерации от 30.05.2026 № 655 утверждены общие требования к организации и осуществлению регионального государственного контроля (далее </w:t>
      </w:r>
      <w:r>
        <w:rPr>
          <w:rStyle w:val="753"/>
          <w:rFonts w:ascii="Times New Roman" w:hAnsi="Times New Roman" w:eastAsia="NSimSun" w:cs="Times New Roman"/>
          <w:b w:val="0"/>
          <w:bCs w:val="0"/>
          <w:color w:val="000000"/>
          <w:sz w:val="28"/>
          <w:szCs w:val="28"/>
          <w:lang w:bidi="ru-RU"/>
        </w:rPr>
        <w:t xml:space="preserve"> – 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требования).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Style w:val="753"/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Проект предусматривает утверждение Положения о региональном государственном контроле (надзоре) за реализацией инвестиционных программ организаций, осуществляющих регулируемые виды деятельности в сфере теплоснабжения (далее – Положение).</w:t>
      </w:r>
      <w:r>
        <w:rPr>
          <w:rStyle w:val="753"/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Style w:val="753"/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Style w:val="753"/>
          <w:rFonts w:ascii="Times New Roman" w:hAnsi="Times New Roman" w:eastAsia="NSimSun" w:cs="Times New Roman"/>
          <w:b w:val="0"/>
          <w:sz w:val="28"/>
          <w:szCs w:val="28"/>
        </w:rPr>
      </w:pPr>
      <w:r>
        <w:rPr>
          <w:rStyle w:val="753"/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Положением  устанавливаются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  перечень должностных лиц, уполномоченных осуществлять региональный контроль (надзор), профилактические мероприятия рисков причинения вреда, виды контрольных (надзорных) мероприятий, сроки проведения контрольных (надзорных) мероприятий, контрольные (надзо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рные) действия, совершаемые в рамках конкретного контрольного (надзорного) мероприятия, в том числе с использованием средств дистанционного взаимодействия, а также с использованием мобильного приложения «Инспектор», порядок рассмотрения жалоб и иные нормы.</w:t>
      </w:r>
      <w:r>
        <w:rPr>
          <w:rStyle w:val="753"/>
          <w:rFonts w:ascii="Times New Roman" w:hAnsi="Times New Roman" w:eastAsia="NSimSun" w:cs="Times New Roman"/>
          <w:b w:val="0"/>
          <w:sz w:val="28"/>
          <w:szCs w:val="28"/>
        </w:rPr>
      </w:r>
      <w:r>
        <w:rPr>
          <w:rStyle w:val="753"/>
          <w:rFonts w:ascii="Times New Roman" w:hAnsi="Times New Roman" w:eastAsia="NSimSun" w:cs="Times New Roman"/>
          <w:b w:val="0"/>
          <w:sz w:val="28"/>
          <w:szCs w:val="28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pPr>
      <w:r>
        <w:rPr>
          <w:rStyle w:val="753"/>
          <w:rFonts w:ascii="Times New Roman" w:hAnsi="Times New Roman" w:eastAsia="NSimSun" w:cs="Times New Roman"/>
          <w:b w:val="0"/>
          <w:sz w:val="28"/>
          <w:szCs w:val="28"/>
        </w:rPr>
        <w:t xml:space="preserve">Также, в соответствии с законодательством, проектом утверждается </w:t>
      </w:r>
      <w:r>
        <w:rPr>
          <w:rFonts w:ascii="Times New Roman" w:hAnsi="Times New Roman" w:eastAsia="NSimSun" w:cs="Times New Roman"/>
          <w:bCs/>
          <w:color w:val="000000"/>
          <w:sz w:val="28"/>
          <w:szCs w:val="28"/>
          <w:lang w:bidi="ru-RU"/>
        </w:rPr>
        <w:t xml:space="preserve">перечень индикаторов риска нарушения обязательных требований при осуществлении регионального государственного контроля (надзор) за реализацией инвестиционных программ организаций, осущест</w:t>
      </w:r>
      <w:r>
        <w:rPr>
          <w:rFonts w:ascii="Times New Roman" w:hAnsi="Times New Roman" w:eastAsia="NSimSun" w:cs="Times New Roman"/>
          <w:bCs/>
          <w:color w:val="000000"/>
          <w:sz w:val="28"/>
          <w:szCs w:val="28"/>
          <w:lang w:bidi="ru-RU"/>
        </w:rPr>
        <w:t xml:space="preserve">вляющих регулируемые виды деятельности в сфере теплоснабжения и ключевой показатель регионального государственного контроля (надзора) за реализацией инвестиционных программ организаций, осуществляющих регулируемые виды деятельности в сфере теплоснабжения. 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Style w:val="753"/>
          <w:rFonts w:ascii="Times New Roman" w:hAnsi="Times New Roman" w:eastAsia="NSimSun" w:cs="Times New Roman"/>
          <w:b w:val="0"/>
          <w:bCs w:val="0"/>
          <w:spacing w:val="-4"/>
          <w:sz w:val="28"/>
          <w:szCs w:val="28"/>
          <w:highlight w:val="white"/>
        </w:rPr>
      </w:pP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Для организации надлежащей работы по проведению регионального государственного контроля (надзора) за реализацией инвестиционных программ организаций, осуществляющих регулируемые виды деятельности в сфере теплоснаб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 xml:space="preserve">жения (за исключением инвестиционных программ, утверждаемых в соответствии с законодательством Российской Федерации об электроэнергетике) потребуется увеличение штатной численности Министерства жилищно-коммунального хозяйства и энергетики Камчатского края.</w:t>
      </w:r>
      <w:r>
        <w:rPr>
          <w:rStyle w:val="753"/>
          <w:rFonts w:ascii="Times New Roman" w:hAnsi="Times New Roman" w:eastAsia="NSimSun" w:cs="Times New Roman"/>
          <w:b w:val="0"/>
          <w:bCs w:val="0"/>
          <w:spacing w:val="-4"/>
          <w:sz w:val="28"/>
          <w:szCs w:val="28"/>
          <w:highlight w:val="white"/>
        </w:rPr>
      </w:r>
      <w:r>
        <w:rPr>
          <w:rStyle w:val="753"/>
          <w:rFonts w:ascii="Times New Roman" w:hAnsi="Times New Roman" w:eastAsia="NSimSun" w:cs="Times New Roman"/>
          <w:b w:val="0"/>
          <w:bCs w:val="0"/>
          <w:spacing w:val="-4"/>
          <w:sz w:val="28"/>
          <w:szCs w:val="28"/>
          <w:highlight w:val="white"/>
        </w:rPr>
      </w:r>
    </w:p>
    <w:p>
      <w:pPr>
        <w:pStyle w:val="659"/>
        <w:ind w:right="0" w:firstLine="850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Style w:val="753"/>
          <w:rFonts w:ascii="Times New Roman" w:hAnsi="Times New Roman" w:eastAsia="NSimSun" w:cs="Times New Roman"/>
          <w:b w:val="0"/>
          <w:bCs w:val="0"/>
          <w:spacing w:val="-4"/>
          <w:sz w:val="28"/>
          <w:szCs w:val="28"/>
          <w:highlight w:val="white"/>
        </w:rPr>
        <w:t xml:space="preserve">Проект постановления 26</w:t>
      </w:r>
      <w:r>
        <w:rPr>
          <w:rStyle w:val="753"/>
          <w:rFonts w:ascii="Times New Roman" w:hAnsi="Times New Roman" w:eastAsia="NSimSun" w:cs="Times New Roman"/>
          <w:b w:val="0"/>
          <w:bCs w:val="0"/>
          <w:spacing w:val="-4"/>
          <w:sz w:val="28"/>
          <w:szCs w:val="28"/>
          <w:shd w:val="clear" w:color="auto" w:fill="auto"/>
        </w:rPr>
        <w:t xml:space="preserve">.08.2026 раз</w:t>
      </w:r>
      <w:r>
        <w:rPr>
          <w:rStyle w:val="753"/>
          <w:rFonts w:ascii="Times New Roman" w:hAnsi="Times New Roman" w:eastAsia="NSimSun" w:cs="Times New Roman"/>
          <w:b w:val="0"/>
          <w:bCs w:val="0"/>
          <w:spacing w:val="-4"/>
          <w:sz w:val="28"/>
          <w:szCs w:val="28"/>
          <w:highlight w:val="white"/>
        </w:rPr>
        <w:t xml:space="preserve">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обеспечения возможности проведения независимой антикоррупционной экспертизы</w:t>
      </w:r>
      <w:r>
        <w:rPr>
          <w:rStyle w:val="753"/>
          <w:rFonts w:ascii="Times New Roman" w:hAnsi="Times New Roman" w:eastAsia="NSimSun" w:cs="Times New Roman"/>
          <w:b w:val="0"/>
          <w:bCs w:val="0"/>
          <w:spacing w:val="-4"/>
          <w:sz w:val="28"/>
          <w:szCs w:val="28"/>
          <w:shd w:val="clear" w:color="auto" w:fill="auto"/>
        </w:rPr>
        <w:t xml:space="preserve">.</w:t>
      </w:r>
      <w:r>
        <w:rPr>
          <w:rStyle w:val="753"/>
          <w:rFonts w:ascii="Times New Roman" w:hAnsi="Times New Roman" w:eastAsia="NSimSu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</w:r>
    </w:p>
    <w:p>
      <w:pPr>
        <w:pStyle w:val="659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</w:r>
    </w:p>
    <w:sectPr>
      <w:headerReference w:type="default" r:id="rId9"/>
      <w:headerReference w:type="even" r:id="rId10"/>
      <w:headerReference w:type="first" r:id="rId11"/>
      <w:footnotePr>
        <w:numFmt w:val="decimal"/>
        <w:numRestart w:val="continuous"/>
      </w:footnotePr>
      <w:endnotePr>
        <w:numFmt w:val="lowerRoman"/>
      </w:endnotePr>
      <w:type w:val="nextPage"/>
      <w:pgSz w:w="11906" w:h="17008" w:orient="portrait"/>
      <w:pgMar w:top="1247" w:right="828" w:bottom="1134" w:left="1718" w:header="720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Noto Sans">
    <w:panose1 w:val="020B0502040504020204"/>
  </w:font>
  <w:font w:name="Droid Sans Devanagari">
    <w:panose1 w:val="020B0606030804020204"/>
  </w:font>
  <w:font w:name="Arial Unicode MS">
    <w:panose1 w:val="020B0604020202020204"/>
  </w:font>
  <w:font w:name="NSimSun">
    <w:panose1 w:val="02000509030000000004"/>
  </w:font>
  <w:font w:name="PT Astra Serif">
    <w:panose1 w:val="020A060304050502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Mangal">
    <w:panose1 w:val="02040503050406030204"/>
  </w:font>
  <w:font w:name="Lohit Devanagari">
    <w:panose1 w:val="020B0600000000000000"/>
  </w:font>
  <w:font w:name="Symbol">
    <w:panose1 w:val="05050102010706020507"/>
  </w:font>
  <w:font w:name="Times New Roman">
    <w:panose1 w:val="02020603050405020304"/>
  </w:font>
  <w:font w:name="Microsoft YaHei">
    <w:panose1 w:val="020B0503020204020204"/>
  </w:font>
  <w:font w:name="Calibri">
    <w:panose1 w:val="020F0502020204030204"/>
  </w:font>
  <w:font w:name="Liberation Mono">
    <w:panose1 w:val="02070409020205020404"/>
  </w:font>
  <w:font w:name="Liberation Sans">
    <w:panose1 w:val="020B0604020202020204"/>
  </w:font>
  <w:font w:name="Wingdings">
    <w:panose1 w:val="05000000000000000000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1"/>
      <w:spacing w:before="0" w:after="20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1"/>
      <w:jc w:val="center"/>
      <w:rPr>
        <w:rFonts w:ascii="Times New Roman" w:hAnsi="Times New Roman" w:cs="Times New Roman"/>
        <w:sz w:val="28"/>
        <w:szCs w:val="28"/>
      </w:rPr>
    </w:pPr>
    <w:r>
      <w:rPr>
        <w:rFonts w:ascii="PT Astra Serif" w:hAnsi="PT Astra Serif" w:cs="PT Astra Serif"/>
      </w:rPr>
      <w:fldChar w:fldCharType="begin"/>
    </w:r>
    <w:r>
      <w:rPr>
        <w:rFonts w:ascii="PT Astra Serif" w:hAnsi="PT Astra Serif" w:cs="PT Astra Serif"/>
      </w:rPr>
      <w:instrText xml:space="preserve"> PAGE </w:instrText>
    </w:r>
    <w:r>
      <w:rPr>
        <w:rFonts w:ascii="Times New Roman" w:hAnsi="Times New Roman" w:eastAsia="Times New Roman" w:cs="Times New Roman"/>
        <w:sz w:val="28"/>
        <w:szCs w:val="28"/>
      </w:rPr>
      <w:fldChar w:fldCharType="separate"/>
    </w:r>
    <w:r>
      <w:rPr>
        <w:rFonts w:ascii="Times New Roman" w:hAnsi="Times New Roman" w:eastAsia="Times New Roman" w:cs="Times New Roman"/>
        <w:sz w:val="28"/>
        <w:szCs w:val="28"/>
      </w:rPr>
      <w:t xml:space="preserve">2</w:t>
    </w:r>
    <w:r>
      <w:rPr>
        <w:rFonts w:ascii="Times New Roman" w:hAnsi="Times New Roman" w:eastAsia="Times New Roman" w:cs="Times New Roman"/>
        <w:sz w:val="28"/>
        <w:szCs w:val="28"/>
      </w:rPr>
      <w:fldChar w:fldCharType="end"/>
    </w:r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cs="Times New Roman"/>
        <w:sz w:val="28"/>
        <w:szCs w:val="28"/>
      </w:rPr>
    </w:r>
  </w:p>
  <w:p>
    <w:pPr>
      <w:pStyle w:val="801"/>
      <w:spacing w:before="0" w:after="200"/>
      <w:rPr>
        <w:rFonts w:ascii="PT Astra Serif" w:hAnsi="PT Astra Serif" w:cs="PT Astra Serif"/>
      </w:rPr>
    </w:pPr>
    <w:r>
      <w:rPr>
        <w:rFonts w:ascii="PT Astra Serif" w:hAnsi="PT Astra Serif" w:cs="PT Astra Serif"/>
      </w:rPr>
    </w:r>
    <w:r>
      <w:rPr>
        <w:rFonts w:ascii="PT Astra Serif" w:hAnsi="PT Astra Serif" w:cs="PT Astra Serif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1"/>
      <w:spacing w:before="0" w:after="2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66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9"/>
    <w:next w:val="659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51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59"/>
    <w:next w:val="659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51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9"/>
    <w:next w:val="659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51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751"/>
    <w:link w:val="66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9"/>
    <w:next w:val="659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51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9"/>
    <w:next w:val="659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51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9"/>
    <w:next w:val="659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51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9"/>
    <w:next w:val="659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51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9"/>
    <w:next w:val="659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51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9"/>
    <w:next w:val="659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51"/>
    <w:link w:val="35"/>
    <w:uiPriority w:val="10"/>
    <w:rPr>
      <w:sz w:val="48"/>
      <w:szCs w:val="48"/>
    </w:rPr>
  </w:style>
  <w:style w:type="paragraph" w:styleId="37">
    <w:name w:val="Subtitle"/>
    <w:basedOn w:val="659"/>
    <w:next w:val="659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51"/>
    <w:link w:val="37"/>
    <w:uiPriority w:val="11"/>
    <w:rPr>
      <w:sz w:val="24"/>
      <w:szCs w:val="24"/>
    </w:rPr>
  </w:style>
  <w:style w:type="paragraph" w:styleId="39">
    <w:name w:val="Quote"/>
    <w:basedOn w:val="659"/>
    <w:next w:val="659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9"/>
    <w:next w:val="659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51"/>
    <w:link w:val="801"/>
    <w:uiPriority w:val="99"/>
  </w:style>
  <w:style w:type="character" w:styleId="46">
    <w:name w:val="Footer Char"/>
    <w:basedOn w:val="751"/>
    <w:link w:val="802"/>
    <w:uiPriority w:val="99"/>
  </w:style>
  <w:style w:type="character" w:styleId="48">
    <w:name w:val="Caption Char"/>
    <w:basedOn w:val="751"/>
    <w:link w:val="761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804"/>
    <w:uiPriority w:val="99"/>
    <w:rPr>
      <w:sz w:val="18"/>
    </w:rPr>
  </w:style>
  <w:style w:type="character" w:styleId="178">
    <w:name w:val="footnote reference"/>
    <w:basedOn w:val="751"/>
    <w:uiPriority w:val="99"/>
    <w:unhideWhenUsed/>
    <w:rPr>
      <w:vertAlign w:val="superscript"/>
    </w:rPr>
  </w:style>
  <w:style w:type="character" w:styleId="180">
    <w:name w:val="Endnote Text Char"/>
    <w:link w:val="805"/>
    <w:uiPriority w:val="99"/>
    <w:rPr>
      <w:sz w:val="20"/>
    </w:rPr>
  </w:style>
  <w:style w:type="character" w:styleId="181">
    <w:name w:val="endnote reference"/>
    <w:basedOn w:val="751"/>
    <w:uiPriority w:val="99"/>
    <w:semiHidden/>
    <w:unhideWhenUsed/>
    <w:rPr>
      <w:vertAlign w:val="superscript"/>
    </w:rPr>
  </w:style>
  <w:style w:type="paragraph" w:styleId="182">
    <w:name w:val="toc 1"/>
    <w:basedOn w:val="659"/>
    <w:next w:val="659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9"/>
    <w:next w:val="659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9"/>
    <w:next w:val="659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9"/>
    <w:next w:val="659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9"/>
    <w:next w:val="659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9"/>
    <w:next w:val="659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9"/>
    <w:next w:val="659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9"/>
    <w:next w:val="659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9"/>
    <w:next w:val="659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9"/>
    <w:next w:val="659"/>
    <w:uiPriority w:val="99"/>
    <w:unhideWhenUsed/>
    <w:pPr>
      <w:spacing w:after="0" w:afterAutospacing="0"/>
    </w:pPr>
  </w:style>
  <w:style w:type="table" w:styleId="65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59" w:default="1">
    <w:name w:val="Normal"/>
    <w:next w:val="659"/>
    <w:link w:val="659"/>
    <w:pPr>
      <w:spacing w:before="0"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660">
    <w:name w:val="Heading 4"/>
    <w:basedOn w:val="659"/>
    <w:next w:val="759"/>
    <w:link w:val="659"/>
    <w:pPr>
      <w:numPr>
        <w:ilvl w:val="3"/>
        <w:numId w:val="1"/>
      </w:numPr>
      <w:spacing w:before="280" w:after="28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661">
    <w:name w:val="Основной шрифт абзаца"/>
    <w:next w:val="661"/>
    <w:link w:val="659"/>
  </w:style>
  <w:style w:type="character" w:styleId="662">
    <w:name w:val="WW8Num1z0"/>
    <w:next w:val="662"/>
    <w:link w:val="659"/>
  </w:style>
  <w:style w:type="character" w:styleId="663">
    <w:name w:val="WW8Num1z1"/>
    <w:next w:val="663"/>
    <w:link w:val="659"/>
  </w:style>
  <w:style w:type="character" w:styleId="664">
    <w:name w:val="WW8Num1z2"/>
    <w:next w:val="664"/>
    <w:link w:val="659"/>
  </w:style>
  <w:style w:type="character" w:styleId="665">
    <w:name w:val="WW8Num1z3"/>
    <w:next w:val="665"/>
    <w:link w:val="659"/>
  </w:style>
  <w:style w:type="character" w:styleId="666">
    <w:name w:val="WW8Num1z4"/>
    <w:next w:val="666"/>
    <w:link w:val="659"/>
  </w:style>
  <w:style w:type="character" w:styleId="667">
    <w:name w:val="WW8Num1z5"/>
    <w:next w:val="667"/>
    <w:link w:val="659"/>
  </w:style>
  <w:style w:type="character" w:styleId="668">
    <w:name w:val="WW8Num1z6"/>
    <w:next w:val="668"/>
    <w:link w:val="659"/>
  </w:style>
  <w:style w:type="character" w:styleId="669">
    <w:name w:val="WW8Num1z7"/>
    <w:next w:val="669"/>
    <w:link w:val="659"/>
  </w:style>
  <w:style w:type="character" w:styleId="670">
    <w:name w:val="WW8Num1z8"/>
    <w:next w:val="670"/>
    <w:link w:val="659"/>
  </w:style>
  <w:style w:type="character" w:styleId="671">
    <w:name w:val="Основной шрифт абзаца10"/>
    <w:next w:val="671"/>
    <w:link w:val="659"/>
  </w:style>
  <w:style w:type="character" w:styleId="672">
    <w:name w:val="Основной шрифт абзаца9"/>
    <w:next w:val="672"/>
    <w:link w:val="659"/>
  </w:style>
  <w:style w:type="character" w:styleId="673">
    <w:name w:val="Основной шрифт абзаца8"/>
    <w:next w:val="673"/>
    <w:link w:val="659"/>
  </w:style>
  <w:style w:type="character" w:styleId="674">
    <w:name w:val="Основной шрифт абзаца7"/>
    <w:next w:val="674"/>
    <w:link w:val="659"/>
  </w:style>
  <w:style w:type="character" w:styleId="675">
    <w:name w:val="Основной шрифт абзаца6"/>
    <w:next w:val="675"/>
    <w:link w:val="659"/>
  </w:style>
  <w:style w:type="character" w:styleId="676">
    <w:name w:val="Основной шрифт абзаца5"/>
    <w:next w:val="676"/>
    <w:link w:val="659"/>
  </w:style>
  <w:style w:type="character" w:styleId="677">
    <w:name w:val="Основной шрифт абзаца4"/>
    <w:next w:val="677"/>
    <w:link w:val="659"/>
  </w:style>
  <w:style w:type="character" w:styleId="678">
    <w:name w:val="Основной шрифт абзаца3"/>
    <w:next w:val="678"/>
    <w:link w:val="659"/>
  </w:style>
  <w:style w:type="character" w:styleId="679">
    <w:name w:val="WW8Num2z0"/>
    <w:next w:val="679"/>
    <w:link w:val="659"/>
    <w:rPr>
      <w:rFonts w:ascii="Symbol" w:hAnsi="Symbol" w:cs="Symbol"/>
      <w:sz w:val="28"/>
      <w:szCs w:val="28"/>
    </w:rPr>
  </w:style>
  <w:style w:type="character" w:styleId="680">
    <w:name w:val="WW8Num3z0"/>
    <w:next w:val="680"/>
    <w:link w:val="659"/>
  </w:style>
  <w:style w:type="character" w:styleId="681">
    <w:name w:val="WW8Num4z0"/>
    <w:next w:val="681"/>
    <w:link w:val="659"/>
    <w:rPr>
      <w:rFonts w:ascii="Symbol" w:hAnsi="Symbol" w:cs="Symbol"/>
      <w:sz w:val="28"/>
      <w:szCs w:val="28"/>
    </w:rPr>
  </w:style>
  <w:style w:type="character" w:styleId="682">
    <w:name w:val="WW8Num5z0"/>
    <w:next w:val="682"/>
    <w:link w:val="659"/>
    <w:rPr>
      <w:rFonts w:ascii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sz w:val="22"/>
      <w:szCs w:val="22"/>
      <w:u w:val="none"/>
      <w:lang w:val="ru-RU" w:bidi="ru-RU"/>
    </w:rPr>
  </w:style>
  <w:style w:type="character" w:styleId="683">
    <w:name w:val="WW8Num5z1"/>
    <w:next w:val="683"/>
    <w:link w:val="659"/>
  </w:style>
  <w:style w:type="character" w:styleId="684">
    <w:name w:val="WW8Num5z2"/>
    <w:next w:val="684"/>
    <w:link w:val="659"/>
  </w:style>
  <w:style w:type="character" w:styleId="685">
    <w:name w:val="WW8Num5z3"/>
    <w:next w:val="685"/>
    <w:link w:val="659"/>
  </w:style>
  <w:style w:type="character" w:styleId="686">
    <w:name w:val="WW8Num5z4"/>
    <w:next w:val="686"/>
    <w:link w:val="659"/>
  </w:style>
  <w:style w:type="character" w:styleId="687">
    <w:name w:val="WW8Num5z5"/>
    <w:next w:val="687"/>
    <w:link w:val="659"/>
  </w:style>
  <w:style w:type="character" w:styleId="688">
    <w:name w:val="WW8Num5z6"/>
    <w:next w:val="688"/>
    <w:link w:val="659"/>
  </w:style>
  <w:style w:type="character" w:styleId="689">
    <w:name w:val="WW8Num5z7"/>
    <w:next w:val="689"/>
    <w:link w:val="659"/>
  </w:style>
  <w:style w:type="character" w:styleId="690">
    <w:name w:val="WW8Num5z8"/>
    <w:next w:val="690"/>
    <w:link w:val="659"/>
  </w:style>
  <w:style w:type="character" w:styleId="691">
    <w:name w:val="WW8Num6z0"/>
    <w:next w:val="691"/>
    <w:link w:val="659"/>
    <w:rPr>
      <w:rFonts w:ascii="Symbol" w:hAnsi="Symbol" w:cs="Symbol"/>
    </w:rPr>
  </w:style>
  <w:style w:type="character" w:styleId="692">
    <w:name w:val="WW8Num6z1"/>
    <w:next w:val="692"/>
    <w:link w:val="659"/>
    <w:rPr>
      <w:rFonts w:ascii="Courier New" w:hAnsi="Courier New" w:cs="Courier New"/>
    </w:rPr>
  </w:style>
  <w:style w:type="character" w:styleId="693">
    <w:name w:val="WW8Num6z2"/>
    <w:next w:val="693"/>
    <w:link w:val="659"/>
    <w:rPr>
      <w:rFonts w:ascii="Wingdings" w:hAnsi="Wingdings" w:cs="Wingdings"/>
    </w:rPr>
  </w:style>
  <w:style w:type="character" w:styleId="694">
    <w:name w:val="WW8Num7z0"/>
    <w:next w:val="694"/>
    <w:link w:val="659"/>
  </w:style>
  <w:style w:type="character" w:styleId="695">
    <w:name w:val="WW8Num7z1"/>
    <w:next w:val="695"/>
    <w:link w:val="659"/>
  </w:style>
  <w:style w:type="character" w:styleId="696">
    <w:name w:val="WW8Num7z2"/>
    <w:next w:val="696"/>
    <w:link w:val="659"/>
  </w:style>
  <w:style w:type="character" w:styleId="697">
    <w:name w:val="WW8Num7z3"/>
    <w:next w:val="697"/>
    <w:link w:val="659"/>
  </w:style>
  <w:style w:type="character" w:styleId="698">
    <w:name w:val="WW8Num7z4"/>
    <w:next w:val="698"/>
    <w:link w:val="659"/>
  </w:style>
  <w:style w:type="character" w:styleId="699">
    <w:name w:val="WW8Num7z5"/>
    <w:next w:val="699"/>
    <w:link w:val="659"/>
  </w:style>
  <w:style w:type="character" w:styleId="700">
    <w:name w:val="WW8Num7z6"/>
    <w:next w:val="700"/>
    <w:link w:val="659"/>
  </w:style>
  <w:style w:type="character" w:styleId="701">
    <w:name w:val="WW8Num7z7"/>
    <w:next w:val="701"/>
    <w:link w:val="659"/>
  </w:style>
  <w:style w:type="character" w:styleId="702">
    <w:name w:val="WW8Num7z8"/>
    <w:next w:val="702"/>
    <w:link w:val="659"/>
  </w:style>
  <w:style w:type="character" w:styleId="703">
    <w:name w:val="WW8Num8z0"/>
    <w:next w:val="703"/>
    <w:link w:val="659"/>
    <w:rPr>
      <w:rFonts w:ascii="Symbol" w:hAnsi="Symbol" w:cs="Symbol"/>
    </w:rPr>
  </w:style>
  <w:style w:type="character" w:styleId="704">
    <w:name w:val="WW8Num8z1"/>
    <w:next w:val="704"/>
    <w:link w:val="659"/>
    <w:rPr>
      <w:rFonts w:ascii="Courier New" w:hAnsi="Courier New" w:cs="Courier New"/>
    </w:rPr>
  </w:style>
  <w:style w:type="character" w:styleId="705">
    <w:name w:val="WW8Num8z2"/>
    <w:next w:val="705"/>
    <w:link w:val="659"/>
    <w:rPr>
      <w:rFonts w:ascii="Wingdings" w:hAnsi="Wingdings" w:cs="Wingdings"/>
    </w:rPr>
  </w:style>
  <w:style w:type="character" w:styleId="706">
    <w:name w:val="WW8Num9z0"/>
    <w:next w:val="706"/>
    <w:link w:val="659"/>
    <w:rPr>
      <w:rFonts w:ascii="Symbol" w:hAnsi="Symbol" w:cs="Symbol"/>
      <w:sz w:val="28"/>
      <w:szCs w:val="28"/>
    </w:rPr>
  </w:style>
  <w:style w:type="character" w:styleId="707">
    <w:name w:val="WW8Num9z1"/>
    <w:next w:val="707"/>
    <w:link w:val="659"/>
    <w:rPr>
      <w:rFonts w:ascii="Courier New" w:hAnsi="Courier New" w:cs="Courier New"/>
    </w:rPr>
  </w:style>
  <w:style w:type="character" w:styleId="708">
    <w:name w:val="WW8Num9z2"/>
    <w:next w:val="708"/>
    <w:link w:val="659"/>
    <w:rPr>
      <w:rFonts w:ascii="Wingdings" w:hAnsi="Wingdings" w:cs="Wingdings"/>
    </w:rPr>
  </w:style>
  <w:style w:type="character" w:styleId="709">
    <w:name w:val="WW8Num9z3"/>
    <w:next w:val="709"/>
    <w:link w:val="659"/>
    <w:rPr>
      <w:rFonts w:ascii="Symbol" w:hAnsi="Symbol" w:cs="Symbol"/>
    </w:rPr>
  </w:style>
  <w:style w:type="character" w:styleId="710">
    <w:name w:val="WW8Num10z0"/>
    <w:next w:val="710"/>
    <w:link w:val="659"/>
    <w:rPr>
      <w:rFonts w:ascii="Symbol" w:hAnsi="Symbol" w:cs="Symbol"/>
      <w:sz w:val="28"/>
      <w:szCs w:val="28"/>
    </w:rPr>
  </w:style>
  <w:style w:type="character" w:styleId="711">
    <w:name w:val="WW8Num10z1"/>
    <w:next w:val="711"/>
    <w:link w:val="659"/>
    <w:rPr>
      <w:rFonts w:ascii="Courier New" w:hAnsi="Courier New" w:cs="Courier New"/>
    </w:rPr>
  </w:style>
  <w:style w:type="character" w:styleId="712">
    <w:name w:val="WW8Num10z2"/>
    <w:next w:val="712"/>
    <w:link w:val="659"/>
    <w:rPr>
      <w:rFonts w:ascii="Wingdings" w:hAnsi="Wingdings" w:cs="Wingdings"/>
    </w:rPr>
  </w:style>
  <w:style w:type="character" w:styleId="713">
    <w:name w:val="WW8Num10z3"/>
    <w:next w:val="713"/>
    <w:link w:val="659"/>
    <w:rPr>
      <w:rFonts w:ascii="Symbol" w:hAnsi="Symbol" w:cs="Symbol"/>
    </w:rPr>
  </w:style>
  <w:style w:type="character" w:styleId="714">
    <w:name w:val="WW8Num11z0"/>
    <w:next w:val="714"/>
    <w:link w:val="659"/>
    <w:rPr>
      <w:rFonts w:ascii="Symbol" w:hAnsi="Symbol" w:cs="Symbol"/>
    </w:rPr>
  </w:style>
  <w:style w:type="character" w:styleId="715">
    <w:name w:val="WW8Num11z1"/>
    <w:next w:val="715"/>
    <w:link w:val="659"/>
    <w:rPr>
      <w:rFonts w:ascii="Courier New" w:hAnsi="Courier New" w:cs="Courier New"/>
    </w:rPr>
  </w:style>
  <w:style w:type="character" w:styleId="716">
    <w:name w:val="WW8Num11z2"/>
    <w:next w:val="716"/>
    <w:link w:val="659"/>
    <w:rPr>
      <w:rFonts w:ascii="Wingdings" w:hAnsi="Wingdings" w:cs="Wingdings"/>
    </w:rPr>
  </w:style>
  <w:style w:type="character" w:styleId="717">
    <w:name w:val="WW8Num12z0"/>
    <w:next w:val="717"/>
    <w:link w:val="659"/>
    <w:rPr>
      <w:rFonts w:ascii="Symbol" w:hAnsi="Symbol" w:cs="Symbol"/>
    </w:rPr>
  </w:style>
  <w:style w:type="character" w:styleId="718">
    <w:name w:val="WW8Num12z1"/>
    <w:next w:val="718"/>
    <w:link w:val="659"/>
    <w:rPr>
      <w:rFonts w:ascii="Courier New" w:hAnsi="Courier New" w:cs="Courier New"/>
    </w:rPr>
  </w:style>
  <w:style w:type="character" w:styleId="719">
    <w:name w:val="WW8Num12z2"/>
    <w:next w:val="719"/>
    <w:link w:val="659"/>
    <w:rPr>
      <w:rFonts w:ascii="Wingdings" w:hAnsi="Wingdings" w:cs="Wingdings"/>
    </w:rPr>
  </w:style>
  <w:style w:type="character" w:styleId="720">
    <w:name w:val="WW8Num13z0"/>
    <w:next w:val="720"/>
    <w:link w:val="659"/>
    <w:rPr>
      <w:rFonts w:ascii="Symbol" w:hAnsi="Symbol" w:cs="Symbol"/>
      <w:sz w:val="28"/>
      <w:szCs w:val="28"/>
    </w:rPr>
  </w:style>
  <w:style w:type="character" w:styleId="721">
    <w:name w:val="WW8Num13z1"/>
    <w:next w:val="721"/>
    <w:link w:val="659"/>
    <w:rPr>
      <w:rFonts w:ascii="Courier New" w:hAnsi="Courier New" w:cs="Courier New"/>
    </w:rPr>
  </w:style>
  <w:style w:type="character" w:styleId="722">
    <w:name w:val="WW8Num13z2"/>
    <w:next w:val="722"/>
    <w:link w:val="659"/>
    <w:rPr>
      <w:rFonts w:ascii="Wingdings" w:hAnsi="Wingdings" w:cs="Wingdings"/>
    </w:rPr>
  </w:style>
  <w:style w:type="character" w:styleId="723">
    <w:name w:val="WW8Num13z3"/>
    <w:next w:val="723"/>
    <w:link w:val="659"/>
    <w:rPr>
      <w:rFonts w:ascii="Symbol" w:hAnsi="Symbol" w:cs="Symbol"/>
    </w:rPr>
  </w:style>
  <w:style w:type="character" w:styleId="724">
    <w:name w:val="WW8Num14z0"/>
    <w:next w:val="724"/>
    <w:link w:val="659"/>
    <w:rPr>
      <w:rFonts w:ascii="Symbol" w:hAnsi="Symbol" w:cs="Symbol"/>
    </w:rPr>
  </w:style>
  <w:style w:type="character" w:styleId="725">
    <w:name w:val="WW8Num14z1"/>
    <w:next w:val="725"/>
    <w:link w:val="659"/>
    <w:rPr>
      <w:rFonts w:ascii="Courier New" w:hAnsi="Courier New" w:cs="Courier New"/>
    </w:rPr>
  </w:style>
  <w:style w:type="character" w:styleId="726">
    <w:name w:val="WW8Num14z2"/>
    <w:next w:val="726"/>
    <w:link w:val="659"/>
    <w:rPr>
      <w:rFonts w:ascii="Wingdings" w:hAnsi="Wingdings" w:cs="Wingdings"/>
    </w:rPr>
  </w:style>
  <w:style w:type="character" w:styleId="727">
    <w:name w:val="Основной шрифт абзаца2"/>
    <w:next w:val="727"/>
    <w:link w:val="659"/>
  </w:style>
  <w:style w:type="character" w:styleId="728">
    <w:name w:val="WW8Num2z1"/>
    <w:next w:val="728"/>
    <w:link w:val="659"/>
  </w:style>
  <w:style w:type="character" w:styleId="729">
    <w:name w:val="WW8Num2z2"/>
    <w:next w:val="729"/>
    <w:link w:val="659"/>
  </w:style>
  <w:style w:type="character" w:styleId="730">
    <w:name w:val="WW8Num2z3"/>
    <w:next w:val="730"/>
    <w:link w:val="659"/>
  </w:style>
  <w:style w:type="character" w:styleId="731">
    <w:name w:val="WW8Num2z4"/>
    <w:next w:val="731"/>
    <w:link w:val="659"/>
  </w:style>
  <w:style w:type="character" w:styleId="732">
    <w:name w:val="WW8Num2z5"/>
    <w:next w:val="732"/>
    <w:link w:val="659"/>
  </w:style>
  <w:style w:type="character" w:styleId="733">
    <w:name w:val="WW8Num2z6"/>
    <w:next w:val="733"/>
    <w:link w:val="659"/>
  </w:style>
  <w:style w:type="character" w:styleId="734">
    <w:name w:val="WW8Num2z7"/>
    <w:next w:val="734"/>
    <w:link w:val="659"/>
  </w:style>
  <w:style w:type="character" w:styleId="735">
    <w:name w:val="WW8Num2z8"/>
    <w:next w:val="735"/>
    <w:link w:val="659"/>
  </w:style>
  <w:style w:type="character" w:styleId="736">
    <w:name w:val="WW8Num3z1"/>
    <w:next w:val="736"/>
    <w:link w:val="659"/>
    <w:rPr>
      <w:rFonts w:ascii="Courier New" w:hAnsi="Courier New" w:cs="Courier New"/>
    </w:rPr>
  </w:style>
  <w:style w:type="character" w:styleId="737">
    <w:name w:val="WW8Num3z2"/>
    <w:next w:val="737"/>
    <w:link w:val="659"/>
    <w:rPr>
      <w:rFonts w:ascii="Wingdings" w:hAnsi="Wingdings" w:cs="Wingdings"/>
    </w:rPr>
  </w:style>
  <w:style w:type="character" w:styleId="738">
    <w:name w:val="WW8Num4z1"/>
    <w:next w:val="738"/>
    <w:link w:val="659"/>
    <w:rPr>
      <w:rFonts w:ascii="Courier New" w:hAnsi="Courier New" w:cs="Courier New"/>
    </w:rPr>
  </w:style>
  <w:style w:type="character" w:styleId="739">
    <w:name w:val="WW8Num4z2"/>
    <w:next w:val="739"/>
    <w:link w:val="659"/>
    <w:rPr>
      <w:rFonts w:ascii="Wingdings" w:hAnsi="Wingdings" w:cs="Wingdings"/>
    </w:rPr>
  </w:style>
  <w:style w:type="character" w:styleId="740">
    <w:name w:val="Основной шрифт абзаца1"/>
    <w:next w:val="740"/>
    <w:link w:val="659"/>
  </w:style>
  <w:style w:type="character" w:styleId="741">
    <w:name w:val=" Знак Знак4"/>
    <w:next w:val="741"/>
    <w:link w:val="659"/>
    <w:rPr>
      <w:sz w:val="22"/>
      <w:szCs w:val="22"/>
    </w:rPr>
  </w:style>
  <w:style w:type="character" w:styleId="742">
    <w:name w:val=" Знак Знак3"/>
    <w:next w:val="742"/>
    <w:link w:val="659"/>
    <w:rPr>
      <w:sz w:val="22"/>
      <w:szCs w:val="22"/>
    </w:rPr>
  </w:style>
  <w:style w:type="character" w:styleId="743">
    <w:name w:val=" Знак Знак2"/>
    <w:next w:val="743"/>
    <w:link w:val="659"/>
    <w:rPr>
      <w:rFonts w:ascii="Tahoma" w:hAnsi="Tahoma" w:cs="Tahoma"/>
      <w:sz w:val="16"/>
      <w:szCs w:val="16"/>
    </w:rPr>
  </w:style>
  <w:style w:type="character" w:styleId="744">
    <w:name w:val=" Знак Знак1"/>
    <w:next w:val="744"/>
    <w:link w:val="659"/>
  </w:style>
  <w:style w:type="character" w:styleId="745">
    <w:name w:val="Символ сноски"/>
    <w:next w:val="745"/>
    <w:link w:val="659"/>
    <w:rPr>
      <w:vertAlign w:val="superscript"/>
    </w:rPr>
  </w:style>
  <w:style w:type="character" w:styleId="746">
    <w:name w:val=" Знак Знак"/>
    <w:next w:val="746"/>
    <w:link w:val="659"/>
  </w:style>
  <w:style w:type="character" w:styleId="747">
    <w:name w:val="Символы концевой сноски"/>
    <w:next w:val="747"/>
    <w:link w:val="659"/>
    <w:rPr>
      <w:vertAlign w:val="superscript"/>
    </w:rPr>
  </w:style>
  <w:style w:type="character" w:styleId="748">
    <w:name w:val=" Знак Знак5"/>
    <w:next w:val="748"/>
    <w:link w:val="659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49">
    <w:name w:val="Hyperlink"/>
    <w:next w:val="749"/>
    <w:link w:val="659"/>
    <w:rPr>
      <w:color w:val="0000ff"/>
      <w:u w:val="single"/>
    </w:rPr>
  </w:style>
  <w:style w:type="character" w:styleId="750">
    <w:name w:val="ListLabel 9"/>
    <w:next w:val="750"/>
    <w:link w:val="659"/>
    <w:rPr>
      <w:rFonts w:cs="Times New Roman"/>
      <w:b/>
      <w:bCs/>
      <w:i w:val="0"/>
      <w:iCs w:val="0"/>
      <w:caps w:val="0"/>
      <w:smallCaps w:val="0"/>
      <w:strike w:val="0"/>
      <w:color w:val="000000"/>
      <w:spacing w:val="0"/>
      <w:sz w:val="22"/>
      <w:szCs w:val="22"/>
      <w:u w:val="none"/>
      <w:lang w:val="ru-RU" w:bidi="ru-RU"/>
    </w:rPr>
  </w:style>
  <w:style w:type="character" w:styleId="751" w:default="1">
    <w:name w:val="Default Paragraph Font"/>
    <w:next w:val="751"/>
    <w:link w:val="659"/>
    <w:rPr>
      <w:rFonts w:ascii="Arial Unicode MS" w:hAnsi="Arial Unicode MS" w:eastAsia="Arial Unicode MS" w:cs="Arial Unicode MS"/>
      <w:color w:val="000000"/>
      <w:spacing w:val="0"/>
      <w:sz w:val="24"/>
      <w:szCs w:val="24"/>
      <w:lang w:val="ru-RU" w:bidi="ru-RU"/>
    </w:rPr>
  </w:style>
  <w:style w:type="character" w:styleId="752">
    <w:name w:val="Основной текст (2)_"/>
    <w:next w:val="752"/>
    <w:link w:val="659"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styleId="753">
    <w:name w:val="Основной текст (2) + 11 pt"/>
    <w:next w:val="753"/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color w:val="000000"/>
      <w:spacing w:val="0"/>
      <w:sz w:val="22"/>
      <w:szCs w:val="22"/>
      <w:u w:val="none"/>
      <w:lang w:val="ru-RU" w:bidi="ru-RU"/>
    </w:rPr>
  </w:style>
  <w:style w:type="character" w:styleId="754">
    <w:name w:val="Page Number"/>
    <w:basedOn w:val="727"/>
    <w:next w:val="754"/>
    <w:link w:val="659"/>
  </w:style>
  <w:style w:type="character" w:styleId="755">
    <w:name w:val="Strong"/>
    <w:next w:val="755"/>
    <w:link w:val="659"/>
    <w:rPr>
      <w:b/>
      <w:bCs/>
    </w:rPr>
  </w:style>
  <w:style w:type="character" w:styleId="756">
    <w:name w:val="Strong1"/>
    <w:next w:val="756"/>
    <w:link w:val="659"/>
    <w:rPr>
      <w:rFonts w:ascii="Arial Unicode MS" w:hAnsi="Arial Unicode MS" w:eastAsia="Arial Unicode MS" w:cs="Arial Unicode MS"/>
      <w:b/>
      <w:bCs/>
      <w:color w:val="000000"/>
      <w:spacing w:val="0"/>
      <w:sz w:val="24"/>
      <w:szCs w:val="24"/>
      <w:lang w:val="ru-RU" w:bidi="ru-RU"/>
    </w:rPr>
  </w:style>
  <w:style w:type="character" w:styleId="757">
    <w:name w:val="Верхний колонтитул Знак"/>
    <w:next w:val="757"/>
    <w:link w:val="659"/>
    <w:rPr>
      <w:rFonts w:ascii="Calibri" w:hAnsi="Calibri" w:eastAsia="Calibri" w:cs="Calibri"/>
      <w:sz w:val="22"/>
      <w:szCs w:val="22"/>
      <w:lang w:eastAsia="zh-CN"/>
    </w:rPr>
  </w:style>
  <w:style w:type="paragraph" w:styleId="758">
    <w:name w:val="Заголовок"/>
    <w:basedOn w:val="659"/>
    <w:next w:val="759"/>
    <w:link w:val="659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759">
    <w:name w:val="Body Text"/>
    <w:basedOn w:val="659"/>
    <w:next w:val="759"/>
    <w:link w:val="659"/>
    <w:pPr>
      <w:spacing w:before="0" w:after="140" w:line="288" w:lineRule="auto"/>
    </w:pPr>
  </w:style>
  <w:style w:type="paragraph" w:styleId="760">
    <w:name w:val="List"/>
    <w:basedOn w:val="759"/>
    <w:next w:val="760"/>
    <w:link w:val="659"/>
    <w:rPr>
      <w:rFonts w:cs="Mangal"/>
    </w:rPr>
  </w:style>
  <w:style w:type="paragraph" w:styleId="761">
    <w:name w:val="Caption"/>
    <w:basedOn w:val="659"/>
    <w:next w:val="761"/>
    <w:link w:val="659"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762">
    <w:name w:val="Указатель"/>
    <w:basedOn w:val="659"/>
    <w:next w:val="762"/>
    <w:link w:val="659"/>
    <w:pPr>
      <w:suppressLineNumbers/>
    </w:pPr>
    <w:rPr>
      <w:rFonts w:cs="Lohit Devanagari"/>
    </w:rPr>
  </w:style>
  <w:style w:type="paragraph" w:styleId="763">
    <w:name w:val="Caption1"/>
    <w:basedOn w:val="659"/>
    <w:next w:val="763"/>
    <w:link w:val="659"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764">
    <w:name w:val="Caption11"/>
    <w:basedOn w:val="659"/>
    <w:next w:val="764"/>
    <w:link w:val="659"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765">
    <w:name w:val="Название объекта"/>
    <w:basedOn w:val="659"/>
    <w:next w:val="765"/>
    <w:link w:val="659"/>
    <w:pPr>
      <w:spacing w:before="120" w:after="120"/>
      <w:suppressLineNumbers/>
    </w:pPr>
    <w:rPr>
      <w:rFonts w:cs="Arial"/>
      <w:i/>
      <w:iCs/>
      <w:sz w:val="24"/>
      <w:szCs w:val="24"/>
    </w:rPr>
  </w:style>
  <w:style w:type="paragraph" w:styleId="766">
    <w:name w:val="Указатель10"/>
    <w:basedOn w:val="659"/>
    <w:next w:val="766"/>
    <w:link w:val="659"/>
    <w:pPr>
      <w:suppressLineNumbers/>
    </w:pPr>
    <w:rPr>
      <w:rFonts w:cs="Droid Sans Devanagari"/>
    </w:rPr>
  </w:style>
  <w:style w:type="paragraph" w:styleId="767">
    <w:name w:val="Caption111"/>
    <w:basedOn w:val="659"/>
    <w:next w:val="767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68">
    <w:name w:val="Caption1111"/>
    <w:basedOn w:val="659"/>
    <w:next w:val="768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69">
    <w:name w:val="Caption11111"/>
    <w:basedOn w:val="659"/>
    <w:next w:val="769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0">
    <w:name w:val="Caption111111"/>
    <w:basedOn w:val="659"/>
    <w:next w:val="770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1">
    <w:name w:val="Caption1111111"/>
    <w:basedOn w:val="659"/>
    <w:next w:val="771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2">
    <w:name w:val="Caption11111111"/>
    <w:basedOn w:val="659"/>
    <w:next w:val="772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3">
    <w:name w:val="Caption111111111"/>
    <w:basedOn w:val="659"/>
    <w:next w:val="773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4">
    <w:name w:val="Caption1111111111"/>
    <w:basedOn w:val="659"/>
    <w:next w:val="774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5">
    <w:name w:val="Caption11111111111"/>
    <w:basedOn w:val="659"/>
    <w:next w:val="775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6">
    <w:name w:val="Caption111111111111"/>
    <w:basedOn w:val="659"/>
    <w:next w:val="776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7">
    <w:name w:val="Caption1111111111111"/>
    <w:basedOn w:val="659"/>
    <w:next w:val="777"/>
    <w:link w:val="659"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78">
    <w:name w:val="Caption11111111111111"/>
    <w:basedOn w:val="659"/>
    <w:next w:val="778"/>
    <w:link w:val="659"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779">
    <w:name w:val="Название объекта9"/>
    <w:basedOn w:val="659"/>
    <w:next w:val="779"/>
    <w:link w:val="659"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780">
    <w:name w:val="Указатель9"/>
    <w:basedOn w:val="659"/>
    <w:next w:val="780"/>
    <w:link w:val="659"/>
    <w:pPr>
      <w:suppressLineNumbers/>
    </w:pPr>
    <w:rPr>
      <w:rFonts w:cs="Droid Sans Devanagari"/>
    </w:rPr>
  </w:style>
  <w:style w:type="paragraph" w:styleId="781">
    <w:name w:val="Название объекта8"/>
    <w:basedOn w:val="659"/>
    <w:next w:val="781"/>
    <w:link w:val="659"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782">
    <w:name w:val="Указатель8"/>
    <w:basedOn w:val="659"/>
    <w:next w:val="782"/>
    <w:link w:val="659"/>
    <w:pPr>
      <w:suppressLineNumbers/>
    </w:pPr>
    <w:rPr>
      <w:rFonts w:cs="Droid Sans Devanagari"/>
    </w:rPr>
  </w:style>
  <w:style w:type="paragraph" w:styleId="783">
    <w:name w:val="Название объекта7"/>
    <w:basedOn w:val="659"/>
    <w:next w:val="783"/>
    <w:link w:val="659"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784">
    <w:name w:val="Указатель7"/>
    <w:basedOn w:val="659"/>
    <w:next w:val="784"/>
    <w:link w:val="659"/>
    <w:pPr>
      <w:suppressLineNumbers/>
    </w:pPr>
    <w:rPr>
      <w:rFonts w:cs="Droid Sans Devanagari"/>
    </w:rPr>
  </w:style>
  <w:style w:type="paragraph" w:styleId="785">
    <w:name w:val="Название объекта6"/>
    <w:basedOn w:val="659"/>
    <w:next w:val="785"/>
    <w:link w:val="659"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786">
    <w:name w:val="Указатель6"/>
    <w:basedOn w:val="659"/>
    <w:next w:val="786"/>
    <w:link w:val="659"/>
    <w:pPr>
      <w:suppressLineNumbers/>
    </w:pPr>
    <w:rPr>
      <w:rFonts w:cs="Droid Sans Devanagari"/>
    </w:rPr>
  </w:style>
  <w:style w:type="paragraph" w:styleId="787">
    <w:name w:val="Название объекта5"/>
    <w:basedOn w:val="659"/>
    <w:next w:val="787"/>
    <w:link w:val="659"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788">
    <w:name w:val="Указатель5"/>
    <w:basedOn w:val="659"/>
    <w:next w:val="788"/>
    <w:link w:val="659"/>
    <w:pPr>
      <w:suppressLineNumbers/>
    </w:pPr>
    <w:rPr>
      <w:rFonts w:cs="Droid Sans Devanagari"/>
    </w:rPr>
  </w:style>
  <w:style w:type="paragraph" w:styleId="789">
    <w:name w:val="Название объекта4"/>
    <w:basedOn w:val="659"/>
    <w:next w:val="789"/>
    <w:link w:val="659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90">
    <w:name w:val="Указатель4"/>
    <w:basedOn w:val="659"/>
    <w:next w:val="790"/>
    <w:link w:val="659"/>
    <w:pPr>
      <w:suppressLineNumbers/>
    </w:pPr>
    <w:rPr>
      <w:rFonts w:cs="Mangal"/>
    </w:rPr>
  </w:style>
  <w:style w:type="paragraph" w:styleId="791">
    <w:name w:val="Название объекта3"/>
    <w:basedOn w:val="659"/>
    <w:next w:val="791"/>
    <w:link w:val="659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92">
    <w:name w:val="Указатель3"/>
    <w:basedOn w:val="659"/>
    <w:next w:val="792"/>
    <w:link w:val="659"/>
    <w:pPr>
      <w:suppressLineNumbers/>
    </w:pPr>
    <w:rPr>
      <w:rFonts w:cs="Mangal"/>
    </w:rPr>
  </w:style>
  <w:style w:type="paragraph" w:styleId="793">
    <w:name w:val="Название объекта2"/>
    <w:basedOn w:val="659"/>
    <w:next w:val="793"/>
    <w:link w:val="659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94">
    <w:name w:val="Указатель2"/>
    <w:basedOn w:val="659"/>
    <w:next w:val="794"/>
    <w:link w:val="659"/>
    <w:pPr>
      <w:suppressLineNumbers/>
    </w:pPr>
    <w:rPr>
      <w:rFonts w:cs="Mangal"/>
    </w:rPr>
  </w:style>
  <w:style w:type="paragraph" w:styleId="795">
    <w:name w:val="Название объекта1"/>
    <w:basedOn w:val="659"/>
    <w:next w:val="795"/>
    <w:link w:val="659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96">
    <w:name w:val="Указатель1"/>
    <w:basedOn w:val="659"/>
    <w:next w:val="796"/>
    <w:link w:val="659"/>
    <w:pPr>
      <w:suppressLineNumbers/>
    </w:pPr>
    <w:rPr>
      <w:rFonts w:cs="Mangal"/>
    </w:rPr>
  </w:style>
  <w:style w:type="paragraph" w:styleId="797">
    <w:name w:val="Абзац списка"/>
    <w:basedOn w:val="659"/>
    <w:next w:val="797"/>
    <w:link w:val="659"/>
    <w:pPr>
      <w:contextualSpacing/>
      <w:ind w:left="720" w:right="0" w:firstLine="0"/>
      <w:spacing w:before="0" w:after="200"/>
    </w:pPr>
  </w:style>
  <w:style w:type="paragraph" w:styleId="798">
    <w:name w:val="Верхний и нижний колонтитулы"/>
    <w:basedOn w:val="659"/>
    <w:next w:val="798"/>
    <w:link w:val="659"/>
    <w:pPr>
      <w:tabs>
        <w:tab w:val="center" w:pos="4819" w:leader="none"/>
        <w:tab w:val="right" w:pos="9638" w:leader="none"/>
      </w:tabs>
      <w:suppressLineNumbers/>
    </w:pPr>
  </w:style>
  <w:style w:type="paragraph" w:styleId="799">
    <w:name w:val="Колонтитул"/>
    <w:basedOn w:val="659"/>
    <w:next w:val="799"/>
    <w:link w:val="659"/>
    <w:pPr>
      <w:tabs>
        <w:tab w:val="center" w:pos="4819" w:leader="none"/>
        <w:tab w:val="right" w:pos="9638" w:leader="none"/>
      </w:tabs>
      <w:suppressLineNumbers/>
    </w:pPr>
  </w:style>
  <w:style w:type="paragraph" w:styleId="800">
    <w:name w:val="Header and Footer"/>
    <w:basedOn w:val="659"/>
    <w:next w:val="800"/>
    <w:link w:val="659"/>
    <w:pPr>
      <w:tabs>
        <w:tab w:val="center" w:pos="4819" w:leader="none"/>
        <w:tab w:val="right" w:pos="9638" w:leader="none"/>
      </w:tabs>
      <w:suppressLineNumbers/>
    </w:pPr>
  </w:style>
  <w:style w:type="paragraph" w:styleId="801">
    <w:name w:val="Header"/>
    <w:basedOn w:val="659"/>
    <w:next w:val="801"/>
    <w:link w:val="659"/>
  </w:style>
  <w:style w:type="paragraph" w:styleId="802">
    <w:name w:val="Footer"/>
    <w:basedOn w:val="659"/>
    <w:next w:val="802"/>
    <w:link w:val="659"/>
  </w:style>
  <w:style w:type="paragraph" w:styleId="803">
    <w:name w:val="Текст выноски"/>
    <w:basedOn w:val="659"/>
    <w:next w:val="803"/>
    <w:link w:val="6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04">
    <w:name w:val="footnote text"/>
    <w:basedOn w:val="659"/>
    <w:next w:val="804"/>
    <w:link w:val="659"/>
    <w:rPr>
      <w:sz w:val="20"/>
      <w:szCs w:val="20"/>
    </w:rPr>
  </w:style>
  <w:style w:type="paragraph" w:styleId="805">
    <w:name w:val="endnote text"/>
    <w:basedOn w:val="659"/>
    <w:next w:val="805"/>
    <w:link w:val="659"/>
    <w:rPr>
      <w:sz w:val="20"/>
      <w:szCs w:val="20"/>
    </w:rPr>
  </w:style>
  <w:style w:type="paragraph" w:styleId="806">
    <w:name w:val="Содержимое таблицы"/>
    <w:basedOn w:val="659"/>
    <w:next w:val="806"/>
    <w:link w:val="659"/>
    <w:pPr>
      <w:suppressLineNumbers/>
    </w:pPr>
  </w:style>
  <w:style w:type="paragraph" w:styleId="807">
    <w:name w:val="Заголовок таблицы"/>
    <w:basedOn w:val="806"/>
    <w:next w:val="807"/>
    <w:link w:val="659"/>
    <w:pPr>
      <w:jc w:val="center"/>
      <w:suppressLineNumbers/>
    </w:pPr>
    <w:rPr>
      <w:b/>
      <w:bCs/>
    </w:rPr>
  </w:style>
  <w:style w:type="paragraph" w:styleId="808">
    <w:name w:val="Основной текст (2)"/>
    <w:basedOn w:val="659"/>
    <w:next w:val="808"/>
    <w:link w:val="659"/>
    <w:pPr>
      <w:ind w:left="0" w:right="0" w:hanging="1080"/>
      <w:spacing w:before="0" w:after="780" w:line="322" w:lineRule="exact"/>
      <w:shd w:val="clear" w:color="auto" w:fill="ffffff"/>
      <w:widowControl w:val="off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z w:val="28"/>
      <w:szCs w:val="28"/>
      <w:u w:val="none"/>
    </w:rPr>
  </w:style>
  <w:style w:type="paragraph" w:styleId="809">
    <w:name w:val="Содержимое врезки"/>
    <w:basedOn w:val="659"/>
    <w:next w:val="809"/>
    <w:link w:val="659"/>
  </w:style>
  <w:style w:type="paragraph" w:styleId="810">
    <w:name w:val="Текст в заданном формате"/>
    <w:basedOn w:val="659"/>
    <w:next w:val="810"/>
    <w:link w:val="659"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811" w:default="1">
    <w:name w:val="Normal Table"/>
    <w:next w:val="811"/>
    <w:link w:val="659"/>
    <w:pPr>
      <w:spacing w:before="0" w:after="200" w:line="276" w:lineRule="auto"/>
      <w:widowControl/>
    </w:pPr>
    <w:rPr>
      <w:rFonts w:ascii="Calibri" w:hAnsi="Calibri" w:eastAsia="Times New Roman" w:cs="Calibri"/>
      <w:color w:val="auto"/>
      <w:sz w:val="22"/>
      <w:szCs w:val="22"/>
      <w:lang w:val="ru-RU" w:eastAsia="zh-CN" w:bidi="ar-SA"/>
    </w:rPr>
  </w:style>
  <w:style w:type="paragraph" w:styleId="812">
    <w:name w:val="Standard"/>
    <w:next w:val="812"/>
    <w:link w:val="659"/>
    <w:pPr>
      <w:widowControl/>
    </w:pPr>
    <w:rPr>
      <w:rFonts w:ascii="Times New Roman" w:hAnsi="Times New Roman" w:eastAsia="Mangal" w:cs="Times New Roman"/>
      <w:color w:val="auto"/>
      <w:sz w:val="20"/>
      <w:szCs w:val="20"/>
      <w:lang w:val="ru-RU" w:eastAsia="zh-CN" w:bidi="ar-SA"/>
    </w:rPr>
  </w:style>
  <w:style w:type="paragraph" w:styleId="813">
    <w:name w:val="List Paragraph"/>
    <w:basedOn w:val="659"/>
    <w:next w:val="813"/>
    <w:link w:val="659"/>
    <w:pPr>
      <w:contextualSpacing/>
      <w:ind w:left="720" w:right="0" w:firstLine="0"/>
      <w:spacing w:before="0" w:after="200"/>
    </w:pPr>
  </w:style>
  <w:style w:type="paragraph" w:styleId="814">
    <w:name w:val="Обычный1"/>
    <w:next w:val="814"/>
    <w:link w:val="659"/>
    <w:pPr>
      <w:spacing w:before="0" w:after="200" w:line="276" w:lineRule="auto"/>
      <w:widowControl w:val="off"/>
    </w:pPr>
    <w:rPr>
      <w:rFonts w:ascii="Liberation Serif" w:hAnsi="Liberation Serif" w:eastAsia="Tahoma" w:cs="Droid Sans Devanagari"/>
      <w:color w:val="auto"/>
      <w:sz w:val="24"/>
      <w:szCs w:val="24"/>
      <w:lang w:val="ru-RU" w:eastAsia="zh-CN" w:bidi="hi-IN"/>
    </w:rPr>
  </w:style>
  <w:style w:type="paragraph" w:styleId="815">
    <w:name w:val="ConsPlusNormal"/>
    <w:next w:val="815"/>
    <w:link w:val="659"/>
    <w:pPr>
      <w:widowControl w:val="off"/>
    </w:pPr>
    <w:rPr>
      <w:rFonts w:ascii="Calibri" w:hAnsi="Calibri" w:eastAsia="Times New Roman" w:cs="Calibri"/>
      <w:color w:val="auto"/>
      <w:sz w:val="24"/>
      <w:szCs w:val="20"/>
      <w:lang w:val="ru-RU" w:eastAsia="zh-CN" w:bidi="hi-IN"/>
    </w:rPr>
  </w:style>
  <w:style w:type="paragraph" w:styleId="816">
    <w:name w:val="Обычный2"/>
    <w:next w:val="816"/>
    <w:link w:val="659"/>
    <w:pPr>
      <w:widowControl w:val="off"/>
    </w:pPr>
    <w:rPr>
      <w:rFonts w:ascii="Liberation Serif" w:hAnsi="Liberation Serif" w:eastAsia="NSimSun" w:cs="Arial"/>
      <w:color w:val="auto"/>
      <w:sz w:val="24"/>
      <w:szCs w:val="24"/>
      <w:lang w:val="ru-RU" w:eastAsia="zh-CN" w:bidi="hi-IN"/>
    </w:rPr>
  </w:style>
  <w:style w:type="numbering" w:styleId="90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ПРОГРАММА</dc:title>
  <dc:creator>lobanov</dc:creator>
  <cp:lastModifiedBy>tolstovaon</cp:lastModifiedBy>
  <cp:revision>4</cp:revision>
  <dcterms:created xsi:type="dcterms:W3CDTF">1995-11-21T14:41:00Z</dcterms:created>
  <dcterms:modified xsi:type="dcterms:W3CDTF">2026-08-26T03:13:15Z</dcterms:modified>
</cp:coreProperties>
</file>